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43" w:rsidRDefault="00C92A43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990109F" wp14:editId="474616E5">
            <wp:extent cx="6865620" cy="4014707"/>
            <wp:effectExtent l="0" t="0" r="0" b="5080"/>
            <wp:docPr id="7170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Object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788" cy="40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92A43" w:rsidRDefault="00C92A43">
      <w:pPr>
        <w:rPr>
          <w:i/>
        </w:rPr>
      </w:pPr>
      <w:r w:rsidRPr="00C92A43">
        <w:rPr>
          <w:i/>
        </w:rPr>
        <w:t>Example Risk S</w:t>
      </w:r>
      <w:r>
        <w:rPr>
          <w:i/>
        </w:rPr>
        <w:t xml:space="preserve">cale (based on Queensland venues) </w:t>
      </w:r>
    </w:p>
    <w:p w:rsidR="00C92A43" w:rsidRPr="00C92A43" w:rsidRDefault="00C92A43">
      <w:pPr>
        <w:rPr>
          <w:i/>
        </w:rPr>
      </w:pPr>
      <w:r>
        <w:rPr>
          <w:noProof/>
          <w:lang w:eastAsia="en-AU"/>
        </w:rPr>
        <w:drawing>
          <wp:inline distT="0" distB="0" distL="0" distR="0" wp14:anchorId="49C5876F" wp14:editId="39E980CC">
            <wp:extent cx="4503420" cy="2765413"/>
            <wp:effectExtent l="0" t="0" r="0" b="0"/>
            <wp:docPr id="6146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Object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657" cy="277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92A43" w:rsidRDefault="00C92A43">
      <w:pPr>
        <w:rPr>
          <w:b/>
        </w:rPr>
      </w:pPr>
      <w:r>
        <w:rPr>
          <w:b/>
        </w:rPr>
        <w:t>Some important factors to consider….</w:t>
      </w:r>
    </w:p>
    <w:p w:rsidR="00C92A43" w:rsidRPr="004E158C" w:rsidRDefault="00C92A43" w:rsidP="00C92A43">
      <w:r w:rsidRPr="004E158C">
        <w:rPr>
          <w:lang w:val="nl-NL"/>
        </w:rPr>
        <w:t xml:space="preserve">AHA members need to idenify risk in their businesses. The range of designated services offered is limited, but members are required by the law to have a risk-based AML/CTF program. It is important to consider </w:t>
      </w:r>
    </w:p>
    <w:p w:rsidR="00C92A43" w:rsidRPr="004E158C" w:rsidRDefault="00C92A43" w:rsidP="00C92A43">
      <w:pPr>
        <w:numPr>
          <w:ilvl w:val="0"/>
          <w:numId w:val="1"/>
        </w:numPr>
      </w:pPr>
      <w:r w:rsidRPr="00C92A43">
        <w:rPr>
          <w:b/>
          <w:lang w:val="nl-NL"/>
        </w:rPr>
        <w:t>Customer risk</w:t>
      </w:r>
      <w:r>
        <w:t xml:space="preserve"> - </w:t>
      </w:r>
      <w:r w:rsidRPr="00C92A43">
        <w:rPr>
          <w:lang w:val="nl-NL"/>
        </w:rPr>
        <w:t>The $10,000 exemption creates a unique problem for gambling services businesses. This is because in most cases customers can be accessing products and services before a ‘Designated’ service is provided. Risk has to be inferred from objective data</w:t>
      </w:r>
    </w:p>
    <w:p w:rsidR="00C92A43" w:rsidRPr="004E158C" w:rsidRDefault="00C92A43" w:rsidP="00C92A43">
      <w:pPr>
        <w:numPr>
          <w:ilvl w:val="0"/>
          <w:numId w:val="1"/>
        </w:numPr>
      </w:pPr>
      <w:r w:rsidRPr="00C92A43">
        <w:rPr>
          <w:b/>
          <w:lang w:val="nl-NL"/>
        </w:rPr>
        <w:t>Product risk</w:t>
      </w:r>
      <w:r>
        <w:rPr>
          <w:lang w:val="nl-NL"/>
        </w:rPr>
        <w:t xml:space="preserve"> - </w:t>
      </w:r>
      <w:r w:rsidRPr="00C92A43">
        <w:rPr>
          <w:lang w:val="nl-NL"/>
        </w:rPr>
        <w:t>Most venues offer a single product with few variations</w:t>
      </w:r>
    </w:p>
    <w:p w:rsidR="00C92A43" w:rsidRPr="00C92A43" w:rsidRDefault="00C92A43" w:rsidP="00C92A43">
      <w:pPr>
        <w:numPr>
          <w:ilvl w:val="0"/>
          <w:numId w:val="1"/>
        </w:numPr>
        <w:rPr>
          <w:b/>
        </w:rPr>
      </w:pPr>
      <w:r w:rsidRPr="00C92A43">
        <w:rPr>
          <w:b/>
          <w:lang w:val="nl-NL"/>
        </w:rPr>
        <w:t>Employee risk</w:t>
      </w:r>
      <w:r>
        <w:rPr>
          <w:b/>
        </w:rPr>
        <w:t xml:space="preserve"> - </w:t>
      </w:r>
      <w:r w:rsidRPr="00C92A43">
        <w:rPr>
          <w:lang w:val="nl-NL"/>
        </w:rPr>
        <w:t>Exists in relation both services and is a constant source of risk closely correlated with fraud risk</w:t>
      </w:r>
    </w:p>
    <w:p w:rsidR="00C92A43" w:rsidRPr="004E158C" w:rsidRDefault="00C92A43" w:rsidP="00C92A43">
      <w:pPr>
        <w:numPr>
          <w:ilvl w:val="0"/>
          <w:numId w:val="1"/>
        </w:numPr>
      </w:pPr>
      <w:r w:rsidRPr="00C92A43">
        <w:rPr>
          <w:b/>
          <w:lang w:val="nl-NL"/>
        </w:rPr>
        <w:t>Jurisdiction risk</w:t>
      </w:r>
      <w:r>
        <w:t xml:space="preserve"> - </w:t>
      </w:r>
      <w:r w:rsidRPr="00C92A43">
        <w:rPr>
          <w:lang w:val="nl-NL"/>
        </w:rPr>
        <w:t>As presented through customers, employees and via foreign currency where foreign currency exchange services are provided</w:t>
      </w:r>
    </w:p>
    <w:p w:rsidR="00C92A43" w:rsidRPr="002204F7" w:rsidRDefault="00C92A43" w:rsidP="00C92A43">
      <w:pPr>
        <w:rPr>
          <w:i/>
        </w:rPr>
      </w:pPr>
      <w:r w:rsidRPr="002204F7">
        <w:rPr>
          <w:i/>
          <w:lang w:val="nl-NL"/>
        </w:rPr>
        <w:lastRenderedPageBreak/>
        <w:t xml:space="preserve">Note: </w:t>
      </w:r>
      <w:r w:rsidRPr="002204F7">
        <w:rPr>
          <w:i/>
          <w:lang w:val="nl-NL"/>
        </w:rPr>
        <w:t>Objective data can be used to compare venues</w:t>
      </w:r>
    </w:p>
    <w:p w:rsidR="00C92A43" w:rsidRPr="002204F7" w:rsidRDefault="00C92A43" w:rsidP="002204F7">
      <w:pPr>
        <w:numPr>
          <w:ilvl w:val="1"/>
          <w:numId w:val="1"/>
        </w:numPr>
        <w:rPr>
          <w:i/>
        </w:rPr>
      </w:pPr>
      <w:r w:rsidRPr="002204F7">
        <w:rPr>
          <w:i/>
          <w:lang w:val="nl-NL"/>
        </w:rPr>
        <w:t>Turnover from gaming</w:t>
      </w:r>
    </w:p>
    <w:p w:rsidR="00C92A43" w:rsidRPr="002204F7" w:rsidRDefault="00C92A43" w:rsidP="002204F7">
      <w:pPr>
        <w:numPr>
          <w:ilvl w:val="1"/>
          <w:numId w:val="1"/>
        </w:numPr>
        <w:rPr>
          <w:i/>
        </w:rPr>
      </w:pPr>
      <w:r w:rsidRPr="002204F7">
        <w:rPr>
          <w:i/>
          <w:lang w:val="nl-NL"/>
        </w:rPr>
        <w:t>Numbers of machines</w:t>
      </w:r>
    </w:p>
    <w:p w:rsidR="00C92A43" w:rsidRPr="002204F7" w:rsidRDefault="00C92A43" w:rsidP="002204F7">
      <w:pPr>
        <w:numPr>
          <w:ilvl w:val="1"/>
          <w:numId w:val="1"/>
        </w:numPr>
        <w:rPr>
          <w:i/>
        </w:rPr>
      </w:pPr>
      <w:r w:rsidRPr="002204F7">
        <w:rPr>
          <w:i/>
          <w:lang w:val="nl-NL"/>
        </w:rPr>
        <w:t>Location</w:t>
      </w:r>
    </w:p>
    <w:p w:rsidR="00C92A43" w:rsidRPr="004E158C" w:rsidRDefault="00C92A43" w:rsidP="002204F7">
      <w:pPr>
        <w:numPr>
          <w:ilvl w:val="0"/>
          <w:numId w:val="1"/>
        </w:numPr>
      </w:pPr>
      <w:r w:rsidRPr="004E158C">
        <w:rPr>
          <w:lang w:val="nl-NL"/>
        </w:rPr>
        <w:t>Assumptions are made in respect of ML/TF risk being constant for customers and employees</w:t>
      </w:r>
    </w:p>
    <w:p w:rsidR="00C92A43" w:rsidRDefault="00C92A43" w:rsidP="00C92A43">
      <w:pPr>
        <w:numPr>
          <w:ilvl w:val="0"/>
          <w:numId w:val="1"/>
        </w:numPr>
      </w:pPr>
      <w:r w:rsidRPr="004E158C">
        <w:rPr>
          <w:lang w:val="nl-NL"/>
        </w:rPr>
        <w:t>Observations and incidents also need to be considered in accepting the venue risk assessment as a foundation for a program.</w:t>
      </w:r>
    </w:p>
    <w:p w:rsidR="00C92A43" w:rsidRPr="004E158C" w:rsidRDefault="00C92A43" w:rsidP="00C92A43">
      <w:r w:rsidRPr="004E158C">
        <w:rPr>
          <w:b/>
          <w:bCs/>
          <w:lang w:val="nl-NL"/>
        </w:rPr>
        <w:t>Venue risk is a key indicator of what is reasonable for a program in terms of effort and focus</w:t>
      </w:r>
    </w:p>
    <w:p w:rsidR="00C92A43" w:rsidRPr="004E158C" w:rsidRDefault="00C92A43" w:rsidP="00C92A43">
      <w:r w:rsidRPr="004E158C">
        <w:rPr>
          <w:lang w:val="nl-NL"/>
        </w:rPr>
        <w:t xml:space="preserve">Suggestions for what </w:t>
      </w:r>
      <w:r w:rsidRPr="004E158C">
        <w:rPr>
          <w:i/>
          <w:iCs/>
          <w:lang w:val="nl-NL"/>
        </w:rPr>
        <w:t>ongoing</w:t>
      </w:r>
      <w:r w:rsidRPr="004E158C">
        <w:rPr>
          <w:lang w:val="nl-NL"/>
        </w:rPr>
        <w:t xml:space="preserve"> program effort is reasonable</w:t>
      </w:r>
    </w:p>
    <w:p w:rsidR="00C92A43" w:rsidRPr="002204F7" w:rsidRDefault="00C92A43" w:rsidP="00C92A43">
      <w:pPr>
        <w:numPr>
          <w:ilvl w:val="1"/>
          <w:numId w:val="2"/>
        </w:numPr>
        <w:rPr>
          <w:b/>
        </w:rPr>
      </w:pPr>
      <w:r w:rsidRPr="002204F7">
        <w:rPr>
          <w:b/>
        </w:rPr>
        <w:t>Higher risk (Red) venues</w:t>
      </w:r>
    </w:p>
    <w:p w:rsidR="00C92A43" w:rsidRPr="004E158C" w:rsidRDefault="00C92A43" w:rsidP="00C92A43">
      <w:pPr>
        <w:numPr>
          <w:ilvl w:val="2"/>
          <w:numId w:val="2"/>
        </w:numPr>
      </w:pPr>
      <w:r w:rsidRPr="004E158C">
        <w:t>Segmentation of staff duties with periodic training to a higher standard for gaming supervisors</w:t>
      </w:r>
    </w:p>
    <w:p w:rsidR="00C92A43" w:rsidRPr="004E158C" w:rsidRDefault="00C92A43" w:rsidP="00C92A43">
      <w:pPr>
        <w:numPr>
          <w:ilvl w:val="2"/>
          <w:numId w:val="2"/>
        </w:numPr>
      </w:pPr>
      <w:r w:rsidRPr="004E158C">
        <w:t>New staff training via RSG training</w:t>
      </w:r>
    </w:p>
    <w:p w:rsidR="00C92A43" w:rsidRPr="004E158C" w:rsidRDefault="00C92A43" w:rsidP="00C92A43">
      <w:pPr>
        <w:numPr>
          <w:ilvl w:val="2"/>
          <w:numId w:val="2"/>
        </w:numPr>
      </w:pPr>
      <w:r w:rsidRPr="004E158C">
        <w:t>Filing of incident/suspicious reports should be very diligent</w:t>
      </w:r>
    </w:p>
    <w:p w:rsidR="00C92A43" w:rsidRPr="004E158C" w:rsidRDefault="00C92A43" w:rsidP="00C92A43">
      <w:pPr>
        <w:numPr>
          <w:ilvl w:val="2"/>
          <w:numId w:val="2"/>
        </w:numPr>
      </w:pPr>
      <w:r w:rsidRPr="004E158C">
        <w:t>Anticipate AUSTRAC inspections</w:t>
      </w:r>
    </w:p>
    <w:p w:rsidR="00C92A43" w:rsidRPr="004E158C" w:rsidRDefault="00C92A43" w:rsidP="00C92A43">
      <w:pPr>
        <w:numPr>
          <w:ilvl w:val="2"/>
          <w:numId w:val="2"/>
        </w:numPr>
      </w:pPr>
      <w:r w:rsidRPr="004E158C">
        <w:t>Record keeping should be reviewed frequently</w:t>
      </w:r>
    </w:p>
    <w:p w:rsidR="00C92A43" w:rsidRPr="004E158C" w:rsidRDefault="00C92A43" w:rsidP="00C92A43">
      <w:pPr>
        <w:numPr>
          <w:ilvl w:val="2"/>
          <w:numId w:val="2"/>
        </w:numPr>
      </w:pPr>
      <w:r w:rsidRPr="004E158C">
        <w:t>Risk re-rating twice yearly</w:t>
      </w:r>
    </w:p>
    <w:p w:rsidR="00C92A43" w:rsidRPr="002204F7" w:rsidRDefault="00C92A43" w:rsidP="00C92A43">
      <w:pPr>
        <w:numPr>
          <w:ilvl w:val="1"/>
          <w:numId w:val="2"/>
        </w:numPr>
        <w:rPr>
          <w:b/>
        </w:rPr>
      </w:pPr>
      <w:r w:rsidRPr="002204F7">
        <w:rPr>
          <w:b/>
        </w:rPr>
        <w:t xml:space="preserve">Moderate risk (Orange) venues </w:t>
      </w:r>
    </w:p>
    <w:p w:rsidR="00C92A43" w:rsidRPr="004E158C" w:rsidRDefault="00C92A43" w:rsidP="00C92A43">
      <w:pPr>
        <w:numPr>
          <w:ilvl w:val="2"/>
          <w:numId w:val="2"/>
        </w:numPr>
      </w:pPr>
      <w:r w:rsidRPr="004E158C">
        <w:t>Annual program review</w:t>
      </w:r>
    </w:p>
    <w:p w:rsidR="00C92A43" w:rsidRPr="004E158C" w:rsidRDefault="00C92A43" w:rsidP="00C92A43">
      <w:pPr>
        <w:numPr>
          <w:ilvl w:val="2"/>
          <w:numId w:val="2"/>
        </w:numPr>
      </w:pPr>
      <w:r w:rsidRPr="004E158C">
        <w:t>Training program with continuous availability for new staff from AHA RSG training</w:t>
      </w:r>
    </w:p>
    <w:p w:rsidR="00C92A43" w:rsidRPr="002204F7" w:rsidRDefault="00C92A43" w:rsidP="00C92A43">
      <w:pPr>
        <w:numPr>
          <w:ilvl w:val="1"/>
          <w:numId w:val="2"/>
        </w:numPr>
        <w:rPr>
          <w:b/>
        </w:rPr>
      </w:pPr>
      <w:r w:rsidRPr="002204F7">
        <w:rPr>
          <w:b/>
        </w:rPr>
        <w:t>Low risk (Green) venues</w:t>
      </w:r>
    </w:p>
    <w:p w:rsidR="00C92A43" w:rsidRPr="004E158C" w:rsidRDefault="00C92A43" w:rsidP="00C92A43">
      <w:pPr>
        <w:numPr>
          <w:ilvl w:val="2"/>
          <w:numId w:val="2"/>
        </w:numPr>
      </w:pPr>
      <w:r w:rsidRPr="004E158C">
        <w:t>Annual program review</w:t>
      </w:r>
    </w:p>
    <w:p w:rsidR="00C92A43" w:rsidRPr="004E158C" w:rsidRDefault="00C92A43" w:rsidP="00C92A43">
      <w:pPr>
        <w:numPr>
          <w:ilvl w:val="2"/>
          <w:numId w:val="2"/>
        </w:numPr>
      </w:pPr>
      <w:r w:rsidRPr="004E158C">
        <w:t>Limited training and support requirements</w:t>
      </w:r>
    </w:p>
    <w:p w:rsidR="00C92A43" w:rsidRPr="004E158C" w:rsidRDefault="00C92A43" w:rsidP="00C92A43">
      <w:pPr>
        <w:numPr>
          <w:ilvl w:val="2"/>
          <w:numId w:val="2"/>
        </w:numPr>
      </w:pPr>
      <w:r w:rsidRPr="004E158C">
        <w:t>Most training and support would be provided as part of the AHA state RSG training</w:t>
      </w:r>
    </w:p>
    <w:p w:rsidR="00C92A43" w:rsidRPr="00C92A43" w:rsidRDefault="00C92A43">
      <w:pPr>
        <w:rPr>
          <w:b/>
        </w:rPr>
      </w:pPr>
    </w:p>
    <w:sectPr w:rsidR="00C92A43" w:rsidRPr="00C92A43" w:rsidSect="00C92A43">
      <w:headerReference w:type="default" r:id="rId9"/>
      <w:pgSz w:w="11906" w:h="16838"/>
      <w:pgMar w:top="851" w:right="1440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43" w:rsidRDefault="00C92A43" w:rsidP="00C92A43">
      <w:pPr>
        <w:spacing w:after="0" w:line="240" w:lineRule="auto"/>
      </w:pPr>
      <w:r>
        <w:separator/>
      </w:r>
    </w:p>
  </w:endnote>
  <w:endnote w:type="continuationSeparator" w:id="0">
    <w:p w:rsidR="00C92A43" w:rsidRDefault="00C92A43" w:rsidP="00C9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43" w:rsidRDefault="00C92A43" w:rsidP="00C92A43">
      <w:pPr>
        <w:spacing w:after="0" w:line="240" w:lineRule="auto"/>
      </w:pPr>
      <w:r>
        <w:separator/>
      </w:r>
    </w:p>
  </w:footnote>
  <w:footnote w:type="continuationSeparator" w:id="0">
    <w:p w:rsidR="00C92A43" w:rsidRDefault="00C92A43" w:rsidP="00C9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43" w:rsidRDefault="002204F7">
    <w:pPr>
      <w:pStyle w:val="Header"/>
    </w:pPr>
    <w:r>
      <w:t xml:space="preserve">AHA NT </w:t>
    </w:r>
    <w:r w:rsidR="00C92A43">
      <w:t xml:space="preserve">Template Risk Assessment Tool </w:t>
    </w:r>
  </w:p>
  <w:p w:rsidR="00C92A43" w:rsidRDefault="00C92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76E"/>
    <w:multiLevelType w:val="hybridMultilevel"/>
    <w:tmpl w:val="196A43B2"/>
    <w:lvl w:ilvl="0" w:tplc="930E1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6B5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84888">
      <w:start w:val="2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C296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46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A7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65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5CF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A608D"/>
    <w:multiLevelType w:val="hybridMultilevel"/>
    <w:tmpl w:val="3444953A"/>
    <w:lvl w:ilvl="0" w:tplc="37DEA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5CE264">
      <w:start w:val="2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A5CE264">
      <w:start w:val="2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22C2CD8">
      <w:start w:val="2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1219C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9C6EF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14A7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8B81F9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0ACFC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43"/>
    <w:rsid w:val="00005BCE"/>
    <w:rsid w:val="00011F6A"/>
    <w:rsid w:val="00014B7E"/>
    <w:rsid w:val="000179E6"/>
    <w:rsid w:val="00034E49"/>
    <w:rsid w:val="00055F60"/>
    <w:rsid w:val="000843CB"/>
    <w:rsid w:val="00091F64"/>
    <w:rsid w:val="00097E30"/>
    <w:rsid w:val="000A02FE"/>
    <w:rsid w:val="000A11D5"/>
    <w:rsid w:val="000B4848"/>
    <w:rsid w:val="000C74C7"/>
    <w:rsid w:val="000D2734"/>
    <w:rsid w:val="000E4B4F"/>
    <w:rsid w:val="000E5B38"/>
    <w:rsid w:val="001056A8"/>
    <w:rsid w:val="001066D1"/>
    <w:rsid w:val="001130DB"/>
    <w:rsid w:val="001255F3"/>
    <w:rsid w:val="0013387C"/>
    <w:rsid w:val="00155093"/>
    <w:rsid w:val="001614F7"/>
    <w:rsid w:val="00164DDD"/>
    <w:rsid w:val="00173F31"/>
    <w:rsid w:val="0018592E"/>
    <w:rsid w:val="00187C9D"/>
    <w:rsid w:val="001A24A0"/>
    <w:rsid w:val="001A3D2E"/>
    <w:rsid w:val="001B6FB3"/>
    <w:rsid w:val="001D10B1"/>
    <w:rsid w:val="001D78AA"/>
    <w:rsid w:val="001E1222"/>
    <w:rsid w:val="001F13E1"/>
    <w:rsid w:val="001F69EF"/>
    <w:rsid w:val="002204F7"/>
    <w:rsid w:val="002249FE"/>
    <w:rsid w:val="002265F4"/>
    <w:rsid w:val="00232FD9"/>
    <w:rsid w:val="00246CF1"/>
    <w:rsid w:val="002473BA"/>
    <w:rsid w:val="00255280"/>
    <w:rsid w:val="0025649A"/>
    <w:rsid w:val="00260EE0"/>
    <w:rsid w:val="00262C72"/>
    <w:rsid w:val="00273A30"/>
    <w:rsid w:val="002923DB"/>
    <w:rsid w:val="00295738"/>
    <w:rsid w:val="002B3607"/>
    <w:rsid w:val="002B36CD"/>
    <w:rsid w:val="002B646B"/>
    <w:rsid w:val="002C1FB3"/>
    <w:rsid w:val="002D1520"/>
    <w:rsid w:val="002E65B8"/>
    <w:rsid w:val="002E7AE0"/>
    <w:rsid w:val="0030368B"/>
    <w:rsid w:val="00321E79"/>
    <w:rsid w:val="00335E45"/>
    <w:rsid w:val="00344989"/>
    <w:rsid w:val="003449BE"/>
    <w:rsid w:val="003503C2"/>
    <w:rsid w:val="0035287A"/>
    <w:rsid w:val="00362ED6"/>
    <w:rsid w:val="00363AA6"/>
    <w:rsid w:val="0037139C"/>
    <w:rsid w:val="00380FF6"/>
    <w:rsid w:val="0038630F"/>
    <w:rsid w:val="0039392B"/>
    <w:rsid w:val="0039442A"/>
    <w:rsid w:val="003A1F19"/>
    <w:rsid w:val="003A7EC0"/>
    <w:rsid w:val="003B24D0"/>
    <w:rsid w:val="003C4BBE"/>
    <w:rsid w:val="003D158B"/>
    <w:rsid w:val="003D6127"/>
    <w:rsid w:val="003E60B4"/>
    <w:rsid w:val="003F02B9"/>
    <w:rsid w:val="003F756D"/>
    <w:rsid w:val="00403BE7"/>
    <w:rsid w:val="004045C3"/>
    <w:rsid w:val="00406D22"/>
    <w:rsid w:val="00411A00"/>
    <w:rsid w:val="00421427"/>
    <w:rsid w:val="004230E2"/>
    <w:rsid w:val="00433145"/>
    <w:rsid w:val="004334BE"/>
    <w:rsid w:val="004371C9"/>
    <w:rsid w:val="00444D14"/>
    <w:rsid w:val="0045565E"/>
    <w:rsid w:val="00457477"/>
    <w:rsid w:val="00462708"/>
    <w:rsid w:val="00471FA5"/>
    <w:rsid w:val="00473496"/>
    <w:rsid w:val="004766D8"/>
    <w:rsid w:val="00480C80"/>
    <w:rsid w:val="0048693F"/>
    <w:rsid w:val="004958E1"/>
    <w:rsid w:val="004E0157"/>
    <w:rsid w:val="004E6F6E"/>
    <w:rsid w:val="004F571F"/>
    <w:rsid w:val="004F7A37"/>
    <w:rsid w:val="004F7A85"/>
    <w:rsid w:val="00505956"/>
    <w:rsid w:val="00510288"/>
    <w:rsid w:val="00521B9F"/>
    <w:rsid w:val="005232FF"/>
    <w:rsid w:val="00525517"/>
    <w:rsid w:val="00526102"/>
    <w:rsid w:val="00535E34"/>
    <w:rsid w:val="005505A8"/>
    <w:rsid w:val="00552219"/>
    <w:rsid w:val="00552792"/>
    <w:rsid w:val="005546ED"/>
    <w:rsid w:val="005620E4"/>
    <w:rsid w:val="00562EC1"/>
    <w:rsid w:val="00567D18"/>
    <w:rsid w:val="00571B60"/>
    <w:rsid w:val="00576507"/>
    <w:rsid w:val="0058677D"/>
    <w:rsid w:val="00587715"/>
    <w:rsid w:val="005A11FA"/>
    <w:rsid w:val="005A31C9"/>
    <w:rsid w:val="005B5775"/>
    <w:rsid w:val="005C275E"/>
    <w:rsid w:val="005C4F1C"/>
    <w:rsid w:val="005F0695"/>
    <w:rsid w:val="005F078B"/>
    <w:rsid w:val="005F7926"/>
    <w:rsid w:val="006032BE"/>
    <w:rsid w:val="00607E1E"/>
    <w:rsid w:val="00613E4B"/>
    <w:rsid w:val="00624809"/>
    <w:rsid w:val="006316D2"/>
    <w:rsid w:val="006343B5"/>
    <w:rsid w:val="006359B1"/>
    <w:rsid w:val="006441EB"/>
    <w:rsid w:val="00645434"/>
    <w:rsid w:val="00656CD5"/>
    <w:rsid w:val="0066484D"/>
    <w:rsid w:val="00673C0B"/>
    <w:rsid w:val="00676DCD"/>
    <w:rsid w:val="00687F3C"/>
    <w:rsid w:val="006953DD"/>
    <w:rsid w:val="00697EA9"/>
    <w:rsid w:val="006A0A4A"/>
    <w:rsid w:val="006A6FC5"/>
    <w:rsid w:val="006B5754"/>
    <w:rsid w:val="006D69EC"/>
    <w:rsid w:val="006E0784"/>
    <w:rsid w:val="006E1B09"/>
    <w:rsid w:val="006E3662"/>
    <w:rsid w:val="006F0A43"/>
    <w:rsid w:val="007024B9"/>
    <w:rsid w:val="00705DA2"/>
    <w:rsid w:val="00706888"/>
    <w:rsid w:val="00742E22"/>
    <w:rsid w:val="00751633"/>
    <w:rsid w:val="00753C3C"/>
    <w:rsid w:val="007545DD"/>
    <w:rsid w:val="00760DE3"/>
    <w:rsid w:val="00784DBF"/>
    <w:rsid w:val="007935A9"/>
    <w:rsid w:val="007946D2"/>
    <w:rsid w:val="007C4CC4"/>
    <w:rsid w:val="007D2F68"/>
    <w:rsid w:val="007E3F32"/>
    <w:rsid w:val="007E7545"/>
    <w:rsid w:val="00807CD6"/>
    <w:rsid w:val="00817839"/>
    <w:rsid w:val="008529D3"/>
    <w:rsid w:val="00855061"/>
    <w:rsid w:val="00866E7D"/>
    <w:rsid w:val="008677BC"/>
    <w:rsid w:val="00871EFF"/>
    <w:rsid w:val="00891E96"/>
    <w:rsid w:val="008A02AD"/>
    <w:rsid w:val="008B4B65"/>
    <w:rsid w:val="008B787E"/>
    <w:rsid w:val="008B7EBF"/>
    <w:rsid w:val="008D5656"/>
    <w:rsid w:val="008E77E4"/>
    <w:rsid w:val="008F7865"/>
    <w:rsid w:val="00915581"/>
    <w:rsid w:val="00931EE9"/>
    <w:rsid w:val="00950A09"/>
    <w:rsid w:val="00966BFC"/>
    <w:rsid w:val="00970DEE"/>
    <w:rsid w:val="00981FBD"/>
    <w:rsid w:val="00983ADF"/>
    <w:rsid w:val="00987D16"/>
    <w:rsid w:val="00990439"/>
    <w:rsid w:val="00991CC8"/>
    <w:rsid w:val="0099547C"/>
    <w:rsid w:val="009C7B2C"/>
    <w:rsid w:val="009D7467"/>
    <w:rsid w:val="00A0355B"/>
    <w:rsid w:val="00A054A8"/>
    <w:rsid w:val="00A359EC"/>
    <w:rsid w:val="00A479F0"/>
    <w:rsid w:val="00A51945"/>
    <w:rsid w:val="00A53BD8"/>
    <w:rsid w:val="00A72661"/>
    <w:rsid w:val="00A81206"/>
    <w:rsid w:val="00A83548"/>
    <w:rsid w:val="00A87D62"/>
    <w:rsid w:val="00AD0D31"/>
    <w:rsid w:val="00AD3E78"/>
    <w:rsid w:val="00AD506E"/>
    <w:rsid w:val="00AD52DC"/>
    <w:rsid w:val="00AE58EC"/>
    <w:rsid w:val="00B01E31"/>
    <w:rsid w:val="00B12B38"/>
    <w:rsid w:val="00B202E7"/>
    <w:rsid w:val="00B231D3"/>
    <w:rsid w:val="00B237AB"/>
    <w:rsid w:val="00B2428B"/>
    <w:rsid w:val="00B37DCA"/>
    <w:rsid w:val="00B40AEF"/>
    <w:rsid w:val="00B56FB9"/>
    <w:rsid w:val="00B63F17"/>
    <w:rsid w:val="00B70482"/>
    <w:rsid w:val="00B8210D"/>
    <w:rsid w:val="00BB3047"/>
    <w:rsid w:val="00BD5B78"/>
    <w:rsid w:val="00BD6810"/>
    <w:rsid w:val="00BD6EA1"/>
    <w:rsid w:val="00BE327E"/>
    <w:rsid w:val="00C0343C"/>
    <w:rsid w:val="00C0642C"/>
    <w:rsid w:val="00C256F6"/>
    <w:rsid w:val="00C34C31"/>
    <w:rsid w:val="00C40A6B"/>
    <w:rsid w:val="00C421E3"/>
    <w:rsid w:val="00C45FA8"/>
    <w:rsid w:val="00C47CCE"/>
    <w:rsid w:val="00C5150B"/>
    <w:rsid w:val="00C6232D"/>
    <w:rsid w:val="00C711C9"/>
    <w:rsid w:val="00C92A43"/>
    <w:rsid w:val="00C935B8"/>
    <w:rsid w:val="00C95493"/>
    <w:rsid w:val="00CA070C"/>
    <w:rsid w:val="00CA63BE"/>
    <w:rsid w:val="00CB2E4B"/>
    <w:rsid w:val="00CB4CDB"/>
    <w:rsid w:val="00CB61FD"/>
    <w:rsid w:val="00CB75F1"/>
    <w:rsid w:val="00CC30E7"/>
    <w:rsid w:val="00CC55D5"/>
    <w:rsid w:val="00CC6AC6"/>
    <w:rsid w:val="00CF2096"/>
    <w:rsid w:val="00D00852"/>
    <w:rsid w:val="00D01286"/>
    <w:rsid w:val="00D06AC8"/>
    <w:rsid w:val="00D274EB"/>
    <w:rsid w:val="00D36F14"/>
    <w:rsid w:val="00D56F96"/>
    <w:rsid w:val="00D57DC3"/>
    <w:rsid w:val="00D63851"/>
    <w:rsid w:val="00D91C82"/>
    <w:rsid w:val="00DA3195"/>
    <w:rsid w:val="00DA6105"/>
    <w:rsid w:val="00DC3DDA"/>
    <w:rsid w:val="00DC418B"/>
    <w:rsid w:val="00DC5011"/>
    <w:rsid w:val="00DD38EF"/>
    <w:rsid w:val="00DD40AE"/>
    <w:rsid w:val="00DF2FF7"/>
    <w:rsid w:val="00E047A5"/>
    <w:rsid w:val="00E111B7"/>
    <w:rsid w:val="00E27A12"/>
    <w:rsid w:val="00E30A4A"/>
    <w:rsid w:val="00E50E66"/>
    <w:rsid w:val="00E60EDF"/>
    <w:rsid w:val="00E6373E"/>
    <w:rsid w:val="00E7070E"/>
    <w:rsid w:val="00E72384"/>
    <w:rsid w:val="00E87558"/>
    <w:rsid w:val="00E9401F"/>
    <w:rsid w:val="00EA5516"/>
    <w:rsid w:val="00EB689B"/>
    <w:rsid w:val="00EC060C"/>
    <w:rsid w:val="00EC510C"/>
    <w:rsid w:val="00EC6B9F"/>
    <w:rsid w:val="00ED0954"/>
    <w:rsid w:val="00ED124E"/>
    <w:rsid w:val="00ED2818"/>
    <w:rsid w:val="00ED45E9"/>
    <w:rsid w:val="00ED4ED9"/>
    <w:rsid w:val="00ED74D2"/>
    <w:rsid w:val="00EE55DD"/>
    <w:rsid w:val="00EE751C"/>
    <w:rsid w:val="00EF5609"/>
    <w:rsid w:val="00F20E96"/>
    <w:rsid w:val="00F36A9B"/>
    <w:rsid w:val="00F567B2"/>
    <w:rsid w:val="00F62328"/>
    <w:rsid w:val="00F62768"/>
    <w:rsid w:val="00F66AAD"/>
    <w:rsid w:val="00F70D80"/>
    <w:rsid w:val="00F71AB5"/>
    <w:rsid w:val="00F73C7F"/>
    <w:rsid w:val="00F73F44"/>
    <w:rsid w:val="00F77AA6"/>
    <w:rsid w:val="00F77C11"/>
    <w:rsid w:val="00F90715"/>
    <w:rsid w:val="00FB6A72"/>
    <w:rsid w:val="00FC625A"/>
    <w:rsid w:val="00FC6785"/>
    <w:rsid w:val="00FD1896"/>
    <w:rsid w:val="00FD736A"/>
    <w:rsid w:val="00FE227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E9C3D-9F5E-477F-BC5F-19EDF282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A43"/>
  </w:style>
  <w:style w:type="paragraph" w:styleId="Footer">
    <w:name w:val="footer"/>
    <w:basedOn w:val="Normal"/>
    <w:link w:val="FooterChar"/>
    <w:uiPriority w:val="99"/>
    <w:unhideWhenUsed/>
    <w:rsid w:val="00C9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Capper</dc:creator>
  <cp:keywords/>
  <dc:description/>
  <cp:lastModifiedBy>Chris Capper</cp:lastModifiedBy>
  <cp:revision>1</cp:revision>
  <dcterms:created xsi:type="dcterms:W3CDTF">2017-01-06T04:20:00Z</dcterms:created>
  <dcterms:modified xsi:type="dcterms:W3CDTF">2017-01-06T04:32:00Z</dcterms:modified>
</cp:coreProperties>
</file>